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65" w:rsidRDefault="00F60865" w:rsidP="00F60865">
      <w:bookmarkStart w:id="0" w:name="_GoBack"/>
      <w:bookmarkEnd w:id="0"/>
      <w:r>
        <w:t>Krystal Bare</w:t>
      </w:r>
    </w:p>
    <w:p w:rsidR="00F60865" w:rsidRDefault="005D15C3" w:rsidP="00F60865">
      <w:r>
        <w:t>15-SP-EDAD-6316-N1</w:t>
      </w:r>
    </w:p>
    <w:p w:rsidR="00F60865" w:rsidRDefault="005D15C3" w:rsidP="00F60865">
      <w:r>
        <w:t>Dr. Jeanie Johnson</w:t>
      </w:r>
    </w:p>
    <w:p w:rsidR="00F60865" w:rsidRDefault="005D15C3" w:rsidP="00F60865">
      <w:r>
        <w:t>March 13, 2015</w:t>
      </w:r>
    </w:p>
    <w:p w:rsidR="000A386F" w:rsidRDefault="005D15C3" w:rsidP="000A386F">
      <w:pPr>
        <w:spacing w:line="480" w:lineRule="auto"/>
        <w:jc w:val="center"/>
      </w:pPr>
      <w:r>
        <w:t>2013-2014</w:t>
      </w:r>
      <w:r w:rsidR="00AE45DB">
        <w:t xml:space="preserve"> Texas Academic Performance</w:t>
      </w:r>
      <w:r>
        <w:t xml:space="preserve"> Report Brewer High School WSISD</w:t>
      </w:r>
      <w:r w:rsidR="00AE45DB">
        <w:t xml:space="preserve"> Analysis</w:t>
      </w:r>
    </w:p>
    <w:p w:rsidR="00B36B4A" w:rsidRDefault="003A42BF" w:rsidP="00463015">
      <w:pPr>
        <w:spacing w:line="480" w:lineRule="auto"/>
        <w:ind w:firstLine="720"/>
      </w:pPr>
      <w:r>
        <w:t>All data represented in this report is from the Texas Academic Performance Report provided by the Texas Education Agency for White Settlement ISD Brewer High School campus number 220920001 for the 2013-</w:t>
      </w:r>
      <w:r w:rsidR="000C510B">
        <w:t>2</w:t>
      </w:r>
      <w:r>
        <w:t xml:space="preserve">014 campus profile, and can be found as public record. </w:t>
      </w:r>
      <w:r w:rsidR="00AE45DB">
        <w:t xml:space="preserve">The </w:t>
      </w:r>
      <w:r w:rsidR="005D15C3">
        <w:t>2013</w:t>
      </w:r>
      <w:r w:rsidR="009A74EB">
        <w:t>-20</w:t>
      </w:r>
      <w:r w:rsidR="005D15C3">
        <w:t>14</w:t>
      </w:r>
      <w:r w:rsidR="00AE45DB">
        <w:t xml:space="preserve"> Texas Academic Performance Report for </w:t>
      </w:r>
      <w:r w:rsidR="005D15C3">
        <w:t>Brewer High</w:t>
      </w:r>
      <w:r w:rsidR="00AE45DB">
        <w:t xml:space="preserve"> School </w:t>
      </w:r>
      <w:r w:rsidR="005D15C3">
        <w:t>according to the 2014</w:t>
      </w:r>
      <w:r w:rsidR="00AE45DB">
        <w:t xml:space="preserve"> accountability rating </w:t>
      </w:r>
      <w:r w:rsidR="005D15C3">
        <w:t>reveals</w:t>
      </w:r>
      <w:r w:rsidR="00B679DE">
        <w:t xml:space="preserve"> that the school met standards. </w:t>
      </w:r>
      <w:r w:rsidR="00AE45DB">
        <w:t xml:space="preserve">The </w:t>
      </w:r>
      <w:r w:rsidR="00B679DE">
        <w:t xml:space="preserve">total student population of the </w:t>
      </w:r>
      <w:r w:rsidR="00AE45DB">
        <w:t>school</w:t>
      </w:r>
      <w:r w:rsidR="00B679DE">
        <w:t xml:space="preserve"> is 1,688 with a grade span of 09-12. </w:t>
      </w:r>
      <w:r w:rsidR="00F36AE3">
        <w:t>The campus has a 46.1% economically disadvantaged campus with 52% of students considered at risk. The ethnic distribution of the campus is predominantly Hispanic and white with 51% of</w:t>
      </w:r>
      <w:r w:rsidR="007B0BBF">
        <w:t xml:space="preserve"> the campus population listed as white, </w:t>
      </w:r>
      <w:r w:rsidR="00F36AE3">
        <w:t xml:space="preserve">36.6% Hispanic, </w:t>
      </w:r>
      <w:r w:rsidR="007B0BBF">
        <w:t>and 6%</w:t>
      </w:r>
      <w:r w:rsidR="00F36AE3">
        <w:t xml:space="preserve"> African American. </w:t>
      </w:r>
      <w:r w:rsidR="00304257">
        <w:t>The graduation class of 2013 was listed as 100% though the school did</w:t>
      </w:r>
      <w:r w:rsidR="00B36B4A">
        <w:t xml:space="preserve"> list an annual dropout rate of </w:t>
      </w:r>
      <w:r w:rsidR="00304257">
        <w:t xml:space="preserve">0.7% in 2012-2013, interestingly the highest percentage of that dropout rate was within the ELL community at 9.1% of the 0.7% campus rate. </w:t>
      </w:r>
    </w:p>
    <w:p w:rsidR="000C3DE9" w:rsidRDefault="00AE45DB" w:rsidP="00463015">
      <w:pPr>
        <w:spacing w:line="480" w:lineRule="auto"/>
        <w:ind w:firstLine="720"/>
      </w:pPr>
      <w:r>
        <w:t>W</w:t>
      </w:r>
      <w:r w:rsidR="008E5D7D">
        <w:t>ith regards to EOC (End of Course) tested subjects the student percentages at the campus level for English I and English II were slightly above the states scores</w:t>
      </w:r>
      <w:r w:rsidR="00757CF3">
        <w:t xml:space="preserve"> for satisfactory standard or above. English I reported</w:t>
      </w:r>
      <w:r w:rsidR="008E5D7D">
        <w:t xml:space="preserve"> 72% </w:t>
      </w:r>
      <w:r w:rsidR="00757CF3">
        <w:t>for the campus and the state at 67%, while</w:t>
      </w:r>
      <w:r w:rsidR="008E5D7D">
        <w:t xml:space="preserve"> English II</w:t>
      </w:r>
      <w:r w:rsidR="00757CF3">
        <w:t xml:space="preserve"> reported </w:t>
      </w:r>
      <w:r w:rsidR="008E5D7D">
        <w:t xml:space="preserve">76% </w:t>
      </w:r>
      <w:r w:rsidR="00757CF3">
        <w:t>for the campus and</w:t>
      </w:r>
      <w:r w:rsidR="008E5D7D">
        <w:t xml:space="preserve"> the stat</w:t>
      </w:r>
      <w:r w:rsidR="00757CF3">
        <w:t>e</w:t>
      </w:r>
      <w:r w:rsidR="008E5D7D">
        <w:t xml:space="preserve"> repo</w:t>
      </w:r>
      <w:r w:rsidR="00757CF3">
        <w:t xml:space="preserve">rted </w:t>
      </w:r>
      <w:r w:rsidR="008E5D7D">
        <w:t>69%</w:t>
      </w:r>
      <w:r w:rsidR="00757CF3">
        <w:t xml:space="preserve"> for 2014. However, with the same standard the campus seems to be reporting below the state</w:t>
      </w:r>
      <w:r w:rsidR="00E3053D">
        <w:t>s average</w:t>
      </w:r>
      <w:r w:rsidR="00757CF3">
        <w:t xml:space="preserve"> for Algebra I at 75% while the state is reporting 80%, the campus did increase their percentage comparing 2013’s scores </w:t>
      </w:r>
      <w:r w:rsidR="00757CF3">
        <w:lastRenderedPageBreak/>
        <w:t xml:space="preserve">which increased from 67% in 2013 to 75% in 2014. </w:t>
      </w:r>
      <w:r w:rsidR="002B3288">
        <w:t>Nonetheless</w:t>
      </w:r>
      <w:r w:rsidR="00757CF3">
        <w:t xml:space="preserve">, this report seems to show an area that the campus needs to list as a priority and continue to show increased growth if comparing </w:t>
      </w:r>
      <w:r w:rsidR="00E3053D">
        <w:t xml:space="preserve">Algebra I </w:t>
      </w:r>
      <w:r w:rsidR="00757CF3">
        <w:t>standard</w:t>
      </w:r>
      <w:r w:rsidR="00E3053D">
        <w:t>s for the campus</w:t>
      </w:r>
      <w:r w:rsidR="00757CF3">
        <w:t xml:space="preserve"> to the state</w:t>
      </w:r>
      <w:r w:rsidR="008E5D7D">
        <w:t xml:space="preserve">. </w:t>
      </w:r>
      <w:r w:rsidR="000C332B">
        <w:t>The B</w:t>
      </w:r>
      <w:r w:rsidR="00E3053D">
        <w:t>iology department showed a high percentage of growth compared to 2013 with only 78% meeting standards in 2013 compared to 9</w:t>
      </w:r>
      <w:r w:rsidR="007B0BBF">
        <w:t>3% meeting standards in Biology for</w:t>
      </w:r>
      <w:r w:rsidR="00E3053D">
        <w:t xml:space="preserve"> 2014, wh</w:t>
      </w:r>
      <w:r w:rsidR="007B0BBF">
        <w:t>ile the state was at 89% for 2014 and 84% for 2013</w:t>
      </w:r>
      <w:r w:rsidR="00E3053D">
        <w:t xml:space="preserve">. </w:t>
      </w:r>
      <w:r w:rsidR="000C332B">
        <w:t>U.S. History for th</w:t>
      </w:r>
      <w:r w:rsidR="007B0BBF">
        <w:t>e campus was equal to the state</w:t>
      </w:r>
      <w:r w:rsidR="000C332B">
        <w:t xml:space="preserve"> with regards to meeting standards with a 92 percentile for both the campus and the state</w:t>
      </w:r>
      <w:r w:rsidR="007B0BBF">
        <w:t xml:space="preserve"> in this EOC tested subject. Overall the campus is at or above standards compared to the state with the exception of Algebra I, but did show growth </w:t>
      </w:r>
      <w:r w:rsidR="000C3DE9">
        <w:t xml:space="preserve">compared to the previous year. Another area that this campus needs to consider targeting for improvements according to the report is the ELL population for the English I / Reading I EOC which only showed a 21% for meeting standards </w:t>
      </w:r>
      <w:r w:rsidR="00CA5C8B">
        <w:t xml:space="preserve">and 45% for special education. Extra support for these two demographics could result in increased percentages for the overall campus. </w:t>
      </w:r>
    </w:p>
    <w:p w:rsidR="00B329D1" w:rsidRDefault="00CA5C8B" w:rsidP="00463015">
      <w:pPr>
        <w:spacing w:line="480" w:lineRule="auto"/>
        <w:ind w:firstLine="720"/>
      </w:pPr>
      <w:r>
        <w:t>98% of campus</w:t>
      </w:r>
      <w:r w:rsidR="00AE45DB">
        <w:t xml:space="preserve"> students attend</w:t>
      </w:r>
      <w:r>
        <w:t>ed and took</w:t>
      </w:r>
      <w:r w:rsidR="00AE45DB">
        <w:t xml:space="preserve"> the STAAR exam</w:t>
      </w:r>
      <w:r>
        <w:t xml:space="preserve"> with a 2% not tested and categorized as absent according to the report. </w:t>
      </w:r>
      <w:r w:rsidR="009475E4">
        <w:t xml:space="preserve">The campus has 779 economically disadvantaged students, 34 English Language Learners, 52 students with disciplinary placements (2012-2013), and 878 considered at-risk out of the total 1,688 students on campus. </w:t>
      </w:r>
      <w:r w:rsidR="004F7FFD">
        <w:t xml:space="preserve">Average class size </w:t>
      </w:r>
      <w:r w:rsidR="009475E4">
        <w:t>is divided up by content areas and is listed as</w:t>
      </w:r>
      <w:r w:rsidR="002B3288">
        <w:t xml:space="preserve"> follows: </w:t>
      </w:r>
      <w:r w:rsidR="006A3F7B">
        <w:t>English/Language Art</w:t>
      </w:r>
      <w:r w:rsidR="009475E4">
        <w:t xml:space="preserve">s 16.9, Foreign Languages 21.9, Mathematics 20.4, Science 21, and Social Studies 19.8. </w:t>
      </w:r>
      <w:r w:rsidR="00EE2B1B">
        <w:t>These class sizes are similar to those recommended by the state and co</w:t>
      </w:r>
      <w:r w:rsidR="00B34B55">
        <w:t>mpared to those of the district</w:t>
      </w:r>
      <w:r w:rsidR="00EE2B1B">
        <w:t xml:space="preserve">. </w:t>
      </w:r>
      <w:r w:rsidR="006F2C29">
        <w:t xml:space="preserve">However, </w:t>
      </w:r>
      <w:r w:rsidR="004F7FFD">
        <w:t xml:space="preserve">this number is usually </w:t>
      </w:r>
      <w:r w:rsidR="006F2C29">
        <w:t>askew and in this examiners opinion does</w:t>
      </w:r>
      <w:r w:rsidR="004F7FFD">
        <w:t xml:space="preserve"> not</w:t>
      </w:r>
      <w:r w:rsidR="006F2C29">
        <w:t xml:space="preserve"> truly</w:t>
      </w:r>
      <w:r w:rsidR="004F7FFD">
        <w:t xml:space="preserve"> re</w:t>
      </w:r>
      <w:r w:rsidR="00B44EA7">
        <w:t>present</w:t>
      </w:r>
      <w:r w:rsidR="006F2C29">
        <w:t xml:space="preserve"> </w:t>
      </w:r>
      <w:r w:rsidR="007208D8">
        <w:t>actual class siz</w:t>
      </w:r>
      <w:r w:rsidR="004F7FFD">
        <w:t>e</w:t>
      </w:r>
      <w:r w:rsidR="006F2C29">
        <w:t>s, because</w:t>
      </w:r>
      <w:r w:rsidR="006A3F7B">
        <w:t xml:space="preserve"> </w:t>
      </w:r>
      <w:r w:rsidR="009A74EB">
        <w:t>the reporting agency</w:t>
      </w:r>
      <w:r w:rsidR="004F7FFD">
        <w:t xml:space="preserve"> take</w:t>
      </w:r>
      <w:r w:rsidR="009A74EB">
        <w:t>s</w:t>
      </w:r>
      <w:r w:rsidR="004F7FFD">
        <w:t xml:space="preserve"> into account ancillary staff </w:t>
      </w:r>
      <w:r w:rsidR="006A3F7B">
        <w:t>when listing class sizes</w:t>
      </w:r>
      <w:r w:rsidR="00B34B55">
        <w:t xml:space="preserve"> for the </w:t>
      </w:r>
      <w:r w:rsidR="00B34B55">
        <w:lastRenderedPageBreak/>
        <w:t>report</w:t>
      </w:r>
      <w:r w:rsidR="006A3F7B">
        <w:t xml:space="preserve">. </w:t>
      </w:r>
      <w:r w:rsidR="001B0F40">
        <w:t xml:space="preserve">Therefore, </w:t>
      </w:r>
      <w:r w:rsidR="006A3F7B">
        <w:t xml:space="preserve">in all honesty </w:t>
      </w:r>
      <w:r w:rsidR="001B0F40">
        <w:t>class size is probabl</w:t>
      </w:r>
      <w:r w:rsidR="007208D8">
        <w:t xml:space="preserve">y </w:t>
      </w:r>
      <w:r w:rsidR="006A3F7B">
        <w:t>higher with regards to</w:t>
      </w:r>
      <w:r w:rsidR="007208D8">
        <w:t xml:space="preserve"> teacher</w:t>
      </w:r>
      <w:r w:rsidR="006A3F7B">
        <w:t xml:space="preserve"> to student</w:t>
      </w:r>
      <w:r w:rsidR="007208D8">
        <w:t xml:space="preserve"> ratio</w:t>
      </w:r>
      <w:r w:rsidR="006A3F7B">
        <w:t>s</w:t>
      </w:r>
      <w:r w:rsidR="007208D8">
        <w:t xml:space="preserve"> than </w:t>
      </w:r>
      <w:r w:rsidR="006A3F7B">
        <w:t>what is listed with</w:t>
      </w:r>
      <w:r w:rsidR="007208D8">
        <w:t>in the</w:t>
      </w:r>
      <w:r w:rsidR="006A3F7B">
        <w:t xml:space="preserve"> TAPR</w:t>
      </w:r>
      <w:r w:rsidR="007208D8">
        <w:t xml:space="preserve"> report</w:t>
      </w:r>
      <w:r w:rsidR="001B0F40">
        <w:t>.</w:t>
      </w:r>
      <w:r w:rsidR="007208D8">
        <w:t xml:space="preserve"> </w:t>
      </w:r>
    </w:p>
    <w:p w:rsidR="00145044" w:rsidRDefault="00AB3711" w:rsidP="00463015">
      <w:pPr>
        <w:spacing w:line="480" w:lineRule="auto"/>
        <w:ind w:firstLine="720"/>
      </w:pPr>
      <w:r>
        <w:t xml:space="preserve">The TAPR lists the average scores for exams taken by </w:t>
      </w:r>
      <w:r w:rsidR="00EE2B1B">
        <w:t>secondary institution</w:t>
      </w:r>
      <w:r>
        <w:t xml:space="preserve"> reflecting</w:t>
      </w:r>
      <w:r w:rsidR="00EE2B1B">
        <w:t xml:space="preserve"> SAT and ACT results for this campus and compares them to the state. Only 21.3% of the campus is at / above criterion for the class of 2013 and 19.7% for 2012. Average SAT score for 2013 was 1371 compared to 1422 for the state standard and for 2012 it was a 1362 compared to 1422 for the s</w:t>
      </w:r>
      <w:r w:rsidR="00145044">
        <w:t xml:space="preserve">tate. </w:t>
      </w:r>
      <w:r w:rsidR="00995505">
        <w:t xml:space="preserve">ACT average score for the campus is 20.3 and the state is 20.6 for 2013 which showed an increase over 2012 which was 19.8. </w:t>
      </w:r>
      <w:r w:rsidR="00145044">
        <w:t>In this examiners opinio</w:t>
      </w:r>
      <w:r w:rsidR="00995505">
        <w:t>n the SAT scores for this camp</w:t>
      </w:r>
      <w:r w:rsidR="008B7DF2">
        <w:t>u</w:t>
      </w:r>
      <w:r w:rsidR="00995505">
        <w:t>s show</w:t>
      </w:r>
      <w:r w:rsidR="008B7DF2">
        <w:t xml:space="preserve"> a weakness in the school </w:t>
      </w:r>
      <w:r w:rsidR="00145044">
        <w:t>and an area that needs to be examined for increase within the student population. With universities looking at SAT and ACT scores as determining factors for admissions this examiner feels that this campus</w:t>
      </w:r>
      <w:r w:rsidR="008B7DF2">
        <w:t xml:space="preserve"> reflects</w:t>
      </w:r>
      <w:r w:rsidR="00145044">
        <w:t xml:space="preserve"> scores that are below the states averages</w:t>
      </w:r>
      <w:r w:rsidR="008B7DF2">
        <w:t>,</w:t>
      </w:r>
      <w:r w:rsidR="00145044">
        <w:t xml:space="preserve"> as an area of concern for graduates</w:t>
      </w:r>
      <w:r w:rsidR="00623BA3">
        <w:t xml:space="preserve"> that are college bound</w:t>
      </w:r>
      <w:r w:rsidR="00145044">
        <w:t>.</w:t>
      </w:r>
    </w:p>
    <w:p w:rsidR="003B6E54" w:rsidRDefault="003E6AF3" w:rsidP="00463015">
      <w:pPr>
        <w:spacing w:line="480" w:lineRule="auto"/>
        <w:ind w:firstLine="720"/>
      </w:pPr>
      <w:r>
        <w:t xml:space="preserve">With regards to </w:t>
      </w:r>
      <w:r w:rsidR="003B6E54">
        <w:t xml:space="preserve">attendance rates for the campus it is </w:t>
      </w:r>
      <w:r w:rsidR="00D74C58">
        <w:t>below the average of the state but not so low that an examiner would be concerned for a secondary institution. Attendance rates for the campus in 2012-2013 are 92.8% compared to the state average of 95.8%, whereas 2011-2012 was listed at 93.1% for the campus and 95.9% for the state.</w:t>
      </w:r>
      <w:r w:rsidR="00F23D96">
        <w:t xml:space="preserve"> The population that showed the highest concerns with regards to attendance for this campus is the ELL population for the campus reflecting </w:t>
      </w:r>
      <w:r w:rsidR="000C510B">
        <w:t>an</w:t>
      </w:r>
      <w:r w:rsidR="00F23D96">
        <w:t xml:space="preserve"> 89.9% attendance rate. </w:t>
      </w:r>
      <w:r w:rsidR="00D74C58">
        <w:t>Attendance rates are always a concern for secondary institutions and truancy is looked at and enforced</w:t>
      </w:r>
      <w:r w:rsidR="00F23D96">
        <w:t>, so every school needs to make attendance a high priority.</w:t>
      </w:r>
    </w:p>
    <w:p w:rsidR="00882EB6" w:rsidRDefault="00623BA3" w:rsidP="00B329D1">
      <w:pPr>
        <w:spacing w:line="480" w:lineRule="auto"/>
        <w:ind w:firstLine="720"/>
      </w:pPr>
      <w:r>
        <w:t xml:space="preserve">The graduating class of 2013 represented 328 total graduates representing 100% graduation rate for this class. There were 58 graduates on the minimum high school program and </w:t>
      </w:r>
      <w:r>
        <w:lastRenderedPageBreak/>
        <w:t>270 on the recommended high school program / DAP with 24 special education graduates included in these total numbers. The n</w:t>
      </w:r>
      <w:r w:rsidR="00A059D1">
        <w:t xml:space="preserve">umber of students per teacher </w:t>
      </w:r>
      <w:r>
        <w:t xml:space="preserve">according to the report </w:t>
      </w:r>
      <w:r w:rsidR="00A059D1">
        <w:t>is 16.8 with a total of 100.7 teachers and 7.6 listed as campus administration</w:t>
      </w:r>
      <w:r w:rsidR="003F23DA">
        <w:t>, and 9 educational aides.</w:t>
      </w:r>
      <w:r>
        <w:t xml:space="preserve"> </w:t>
      </w:r>
      <w:r w:rsidR="003F23DA">
        <w:t xml:space="preserve">55 teachers are female whereas 45.8 are male, </w:t>
      </w:r>
      <w:r w:rsidR="008747F1">
        <w:t xml:space="preserve">with a wide range of </w:t>
      </w:r>
      <w:r w:rsidR="003F23DA">
        <w:t xml:space="preserve">teaching experience </w:t>
      </w:r>
      <w:r w:rsidR="008747F1">
        <w:t xml:space="preserve">represented across the </w:t>
      </w:r>
      <w:r w:rsidR="003F23DA">
        <w:t>campus</w:t>
      </w:r>
      <w:r w:rsidR="008747F1">
        <w:t xml:space="preserve">. The report shows that </w:t>
      </w:r>
      <w:r w:rsidR="003F23DA">
        <w:t xml:space="preserve">28.4 teachers have been teaching for 1-5 years, 25.2 with 6-10 years of experience, 30.7 with 11-20 years of experience and 15.6 with over 20 years of experience. </w:t>
      </w:r>
      <w:r w:rsidR="008747F1">
        <w:t>The teacher ethnicity demographic does not appear to be very diverse with the teacher demogra</w:t>
      </w:r>
      <w:r w:rsidR="007C2690">
        <w:t xml:space="preserve">phic being predominately white representing 88.6 of the teachers, 6.1 are Hispanic, 3 are African </w:t>
      </w:r>
      <w:r>
        <w:t>American, and 2 American Indian.</w:t>
      </w:r>
    </w:p>
    <w:p w:rsidR="0078732D" w:rsidRDefault="00437530" w:rsidP="00B329D1">
      <w:pPr>
        <w:spacing w:line="480" w:lineRule="auto"/>
        <w:ind w:firstLine="720"/>
      </w:pPr>
      <w:r>
        <w:t>Personal r</w:t>
      </w:r>
      <w:r w:rsidR="008E15F6">
        <w:t xml:space="preserve">ecommendations </w:t>
      </w:r>
      <w:r w:rsidR="002329DF">
        <w:t xml:space="preserve">and analysis </w:t>
      </w:r>
      <w:r w:rsidR="008E15F6">
        <w:t xml:space="preserve">for this campus after reviewing the report would be simple but multi-faceted. </w:t>
      </w:r>
      <w:r w:rsidR="00AF251A">
        <w:t>First, a</w:t>
      </w:r>
      <w:r w:rsidR="008E15F6">
        <w:t xml:space="preserve">s an </w:t>
      </w:r>
      <w:r w:rsidR="003A42BF">
        <w:t xml:space="preserve">area of concentration for an </w:t>
      </w:r>
      <w:r w:rsidR="008E15F6">
        <w:t>administrator it appears that the teacher population does not truly represent the student demographic population</w:t>
      </w:r>
      <w:r w:rsidR="003A42BF">
        <w:t>, and is less diverse than what is representative of the students</w:t>
      </w:r>
      <w:r w:rsidR="008E15F6">
        <w:t xml:space="preserve">. </w:t>
      </w:r>
      <w:r>
        <w:t>Studies</w:t>
      </w:r>
      <w:r w:rsidR="00F64754">
        <w:t xml:space="preserve"> support a diverse campus within school</w:t>
      </w:r>
      <w:r>
        <w:t xml:space="preserve"> administration and teacher pool</w:t>
      </w:r>
      <w:r w:rsidR="00F64754">
        <w:t>, in accordance staffing</w:t>
      </w:r>
      <w:r>
        <w:t xml:space="preserve"> should truly be representative of the student population. However, this campus does not reflect that and it is evident based solely on the numbers in this report</w:t>
      </w:r>
      <w:r w:rsidR="00AF251A">
        <w:t xml:space="preserve">, there is a distinct difference with regards to demographics on this campus </w:t>
      </w:r>
      <w:r w:rsidR="00F64754">
        <w:t>and if schools are going to narrow</w:t>
      </w:r>
      <w:r w:rsidR="00AF251A">
        <w:t xml:space="preserve"> the achievement gap, campuses ar</w:t>
      </w:r>
      <w:r w:rsidR="00F64754">
        <w:t>e going to need to examine the</w:t>
      </w:r>
      <w:r w:rsidR="00AF251A">
        <w:t xml:space="preserve"> teacher population in relationship to students. The campus does not have a strong Hispanic representation with regards to teaching staff although the student population is </w:t>
      </w:r>
      <w:r w:rsidR="0078732D">
        <w:t xml:space="preserve">over 36% Hispanic. The teaching staff is almost solely white and although there </w:t>
      </w:r>
      <w:r w:rsidR="000C510B">
        <w:t>are a high percentage of white students</w:t>
      </w:r>
      <w:r w:rsidR="0078732D">
        <w:t xml:space="preserve"> in the population, there is little diversity related to staffing per this report and is one area that should be addressed</w:t>
      </w:r>
      <w:r w:rsidR="00F64754">
        <w:t xml:space="preserve"> by administration for recruitment and hiring</w:t>
      </w:r>
      <w:r w:rsidR="0078732D">
        <w:t xml:space="preserve">. </w:t>
      </w:r>
    </w:p>
    <w:p w:rsidR="0078732D" w:rsidRDefault="0078732D" w:rsidP="00B329D1">
      <w:pPr>
        <w:spacing w:line="480" w:lineRule="auto"/>
        <w:ind w:firstLine="720"/>
      </w:pPr>
      <w:r>
        <w:lastRenderedPageBreak/>
        <w:t>Secondly, a</w:t>
      </w:r>
      <w:r w:rsidR="003A42BF">
        <w:t>s a secondary institution working to improve and prepare students at lower grade levels for SAT and ACT exams could improve scores</w:t>
      </w:r>
      <w:r>
        <w:t xml:space="preserve"> and needs to be an area that is examined</w:t>
      </w:r>
      <w:r w:rsidR="003A42BF">
        <w:t xml:space="preserve">. Instituting SAT and ACT prep </w:t>
      </w:r>
      <w:r w:rsidR="00693DE4">
        <w:t xml:space="preserve">courses or workshops </w:t>
      </w:r>
      <w:r w:rsidR="003A42BF">
        <w:t xml:space="preserve">could </w:t>
      </w:r>
      <w:r w:rsidR="00693DE4">
        <w:t xml:space="preserve">be one area to help to facilitate the potential to increase scores for graduating seniors. </w:t>
      </w:r>
      <w:r>
        <w:t>This could be one area that school counselors look at and concentrate on for improvement and facilitate workshop or prep courses for</w:t>
      </w:r>
      <w:r w:rsidR="00F64754">
        <w:t xml:space="preserve"> students who are college bound</w:t>
      </w:r>
      <w:r>
        <w:t>. Also</w:t>
      </w:r>
      <w:r w:rsidR="00F64754">
        <w:t>,</w:t>
      </w:r>
      <w:r>
        <w:t xml:space="preserve"> school counselors may be able to help isolate the student populations that may need more assistance with regards to these exams for college. Increasing SAT and ACT style questions, test prep, and vocabulary in a cross curricular environment for teachers would be another area that administrators could encourage and </w:t>
      </w:r>
      <w:r w:rsidR="00FF3BAC">
        <w:t>facilitate examining, as well as starting early in the students’ academic</w:t>
      </w:r>
      <w:r w:rsidR="00B63855">
        <w:t xml:space="preserve">s upon entering the school freshman year. </w:t>
      </w:r>
    </w:p>
    <w:p w:rsidR="00F64754" w:rsidRDefault="004D0361" w:rsidP="00B329D1">
      <w:pPr>
        <w:spacing w:line="480" w:lineRule="auto"/>
        <w:ind w:firstLine="720"/>
      </w:pPr>
      <w:r>
        <w:t>Third, a</w:t>
      </w:r>
      <w:r w:rsidR="00693DE4">
        <w:t xml:space="preserve">ddressing absenteeism </w:t>
      </w:r>
      <w:r w:rsidR="00CE76F9">
        <w:t xml:space="preserve">and testing </w:t>
      </w:r>
      <w:r w:rsidR="00693DE4">
        <w:t>across the board and</w:t>
      </w:r>
      <w:r w:rsidR="00CE76F9">
        <w:t xml:space="preserve"> specifically</w:t>
      </w:r>
      <w:r w:rsidR="00693DE4">
        <w:t xml:space="preserve"> targeting </w:t>
      </w:r>
      <w:r>
        <w:t xml:space="preserve">the ELL student population </w:t>
      </w:r>
      <w:r w:rsidR="00F64754">
        <w:t>is another area to inspect. S</w:t>
      </w:r>
      <w:r>
        <w:t>ince the report shows this population</w:t>
      </w:r>
      <w:r w:rsidR="00693DE4">
        <w:t xml:space="preserve"> has the highest rate of absenteeism and drop-out rate</w:t>
      </w:r>
      <w:r w:rsidR="00F64754">
        <w:t>s, it would be wise to look at adding support for this student demographic</w:t>
      </w:r>
      <w:r>
        <w:t xml:space="preserve">. Scrutinizing this area </w:t>
      </w:r>
      <w:r w:rsidR="003A42BF">
        <w:t>would be a starting point</w:t>
      </w:r>
      <w:r w:rsidR="00D111D3">
        <w:t xml:space="preserve"> to help increase the likelihood of</w:t>
      </w:r>
      <w:r w:rsidR="00F64754">
        <w:t xml:space="preserve"> graduation for this</w:t>
      </w:r>
      <w:r w:rsidR="00D111D3">
        <w:t xml:space="preserve"> populat</w:t>
      </w:r>
      <w:r w:rsidR="006D12EB">
        <w:t>ion, since s</w:t>
      </w:r>
      <w:r w:rsidR="00D111D3">
        <w:t xml:space="preserve">tudies show a direct link between absenteeism and drop-out rates. </w:t>
      </w:r>
      <w:r w:rsidR="00CE76F9">
        <w:t xml:space="preserve">In direct correlation to the ELL population testing </w:t>
      </w:r>
      <w:r w:rsidR="00D111D3">
        <w:t>showed the lowest scores</w:t>
      </w:r>
      <w:r w:rsidR="00CE76F9">
        <w:t xml:space="preserve"> within this demographic across campus. Possibly</w:t>
      </w:r>
      <w:r w:rsidR="00D111D3">
        <w:t xml:space="preserve"> strengthening teacher support for these students</w:t>
      </w:r>
      <w:r w:rsidR="00CE76F9">
        <w:t xml:space="preserve"> directly</w:t>
      </w:r>
      <w:r w:rsidR="00D111D3">
        <w:t xml:space="preserve"> and working on test preparation </w:t>
      </w:r>
      <w:r w:rsidR="00CE76F9">
        <w:t xml:space="preserve">within a supportive ELL environment </w:t>
      </w:r>
      <w:r w:rsidR="00D111D3">
        <w:t xml:space="preserve">these students should </w:t>
      </w:r>
      <w:r w:rsidR="00CE76F9">
        <w:t>be able to increase scores with needed support</w:t>
      </w:r>
      <w:r w:rsidR="00C466BA">
        <w:t>.</w:t>
      </w:r>
    </w:p>
    <w:p w:rsidR="0010461B" w:rsidRDefault="00C466BA" w:rsidP="00B329D1">
      <w:pPr>
        <w:spacing w:line="480" w:lineRule="auto"/>
        <w:ind w:firstLine="720"/>
      </w:pPr>
      <w:r>
        <w:t xml:space="preserve">Algebra I showed an increase in scores over the previous year but is still below state averages and should be a high priority for this campus. Strong vertical alignment for students </w:t>
      </w:r>
      <w:r>
        <w:lastRenderedPageBreak/>
        <w:t xml:space="preserve">coming into Algebra I and strengthening test prep, core teaching concepts, and possibly pull-outs for students at risk are a few ways this campus could reinforce the support needed in this content area. </w:t>
      </w:r>
      <w:r w:rsidR="00F21D03">
        <w:t xml:space="preserve">Overall this campus met standards according to the state and by making a few small but necessary changes could help shape </w:t>
      </w:r>
      <w:r w:rsidR="00CE76F9">
        <w:t xml:space="preserve">the </w:t>
      </w:r>
      <w:r w:rsidR="00F21D03">
        <w:t xml:space="preserve">campus </w:t>
      </w:r>
      <w:r w:rsidR="00CE76F9">
        <w:t>for improvements</w:t>
      </w:r>
      <w:r w:rsidR="00F21D03">
        <w:t xml:space="preserve"> in the years to come</w:t>
      </w:r>
    </w:p>
    <w:p w:rsidR="00F74559" w:rsidRDefault="00843514" w:rsidP="00B329D1">
      <w:pPr>
        <w:spacing w:line="480" w:lineRule="auto"/>
        <w:ind w:firstLine="720"/>
      </w:pPr>
      <w:r>
        <w:t xml:space="preserve">Recruitment was the chosen topic in relationship to this administrators </w:t>
      </w:r>
      <w:r w:rsidR="00F64754">
        <w:t>focus</w:t>
      </w:r>
      <w:r>
        <w:t xml:space="preserve"> and area of concentration with regards to this report As already discussed an area of </w:t>
      </w:r>
      <w:r w:rsidR="00F74559">
        <w:t>awareness</w:t>
      </w:r>
      <w:r>
        <w:t xml:space="preserve"> for this campus needs to be the recruitment of teachers that better fit the student demographic for added diversity at the campus level. The U.S. Department of Education released a report titled </w:t>
      </w:r>
      <w:r w:rsidR="00F74559">
        <w:t>“</w:t>
      </w:r>
      <w:r w:rsidR="007C200A">
        <w:t>Transfer Incentive</w:t>
      </w:r>
      <w:r>
        <w:t>s for High-Performing Teachers: Final Results from a Multisite Randomized Experiment”</w:t>
      </w:r>
      <w:r w:rsidR="00EB7591">
        <w:t xml:space="preserve"> examines the concept that the teachers who are most effective are not currently working with the students who need it most and are therefore misappropriated according to the study.</w:t>
      </w:r>
    </w:p>
    <w:p w:rsidR="00A85994" w:rsidRDefault="007C200A" w:rsidP="00B329D1">
      <w:pPr>
        <w:spacing w:line="480" w:lineRule="auto"/>
        <w:ind w:firstLine="720"/>
      </w:pPr>
      <w:r>
        <w:t xml:space="preserve">If </w:t>
      </w:r>
      <w:r w:rsidR="00F74559">
        <w:t>the schools with the majority of students who are classified as</w:t>
      </w:r>
      <w:r>
        <w:t xml:space="preserve"> disadvantaged were given the best teachers, would those schools and students show improvements? This was the main examination of this report and it looked at the transfer of these teachers in relationship to students test scores, teacher retention, and the effect of the dynamics of the schools that received these transfer teachers. </w:t>
      </w:r>
      <w:r w:rsidR="00BE52A5">
        <w:t xml:space="preserve">The report referred to this as “Talent Transfer” and schools districts that were part of this study were diverse. These high performing recruited teachers were placed in vacancies in what was referred to as treatment schools and the highest performing teachers were identified early on as recruiting candidates starting in March but </w:t>
      </w:r>
      <w:r w:rsidR="00C229ED">
        <w:t>greatest</w:t>
      </w:r>
      <w:r w:rsidR="00BE52A5">
        <w:t xml:space="preserve"> </w:t>
      </w:r>
      <w:r w:rsidR="00C229ED">
        <w:t>posts</w:t>
      </w:r>
      <w:r w:rsidR="00BE52A5">
        <w:t xml:space="preserve"> filled in May and June. </w:t>
      </w:r>
      <w:r w:rsidR="00C229ED">
        <w:t xml:space="preserve">To apply this knowledge of recruitment to the campus examined in the TAPR report it would be a suggestion to examine the staffing needs for the upcoming year early and start </w:t>
      </w:r>
      <w:r w:rsidR="00C229ED">
        <w:lastRenderedPageBreak/>
        <w:t xml:space="preserve">recruitment of new high qualified, diverse teachers </w:t>
      </w:r>
      <w:r w:rsidR="00F61E28">
        <w:t xml:space="preserve">by March, but reality shows that most vacancies will be filled by May or June. Recruiting good teachers who fit the demographic needs of the school is not something that a campus administrator can put off to the last minute and is an aspect of administration that needs to be examined closely for upcoming school year needs with regards employment decisions. </w:t>
      </w:r>
    </w:p>
    <w:p w:rsidR="00C229ED" w:rsidRDefault="00C97E34" w:rsidP="00B329D1">
      <w:pPr>
        <w:spacing w:line="480" w:lineRule="auto"/>
        <w:ind w:firstLine="720"/>
      </w:pPr>
      <w:r>
        <w:t>The high performing teachers that were recruited for transfers in the article were given a financial incentive to do so, and it was paid out over a two year time period. What was interesting within the study is that improvements were seen with regards to testing and scores, but that it may not be a feasible cost effective manner of recruitment</w:t>
      </w:r>
      <w:r w:rsidR="00A85994">
        <w:t>,</w:t>
      </w:r>
      <w:r>
        <w:t xml:space="preserve"> due to the high</w:t>
      </w:r>
      <w:r w:rsidR="00A85994">
        <w:t xml:space="preserve"> cost involved to attain</w:t>
      </w:r>
      <w:r>
        <w:t xml:space="preserve"> these high achieving teachers to move to districts outside of their comparative </w:t>
      </w:r>
      <w:r w:rsidR="00C87B8C">
        <w:t>districts</w:t>
      </w:r>
      <w:r w:rsidR="00A85994">
        <w:t>. A</w:t>
      </w:r>
      <w:r w:rsidR="00C87B8C">
        <w:t xml:space="preserve">lthough it did show that after the payments stopped in the third year that many teachers did stay at the new transfer school instead of looking for employment elsewhere. </w:t>
      </w:r>
      <w:r w:rsidR="00C3339A">
        <w:t xml:space="preserve">The question remains on whether the high performing teachers who were recruited to the disadvantaged schools would have transferred without the pay incentive, and how would retention rates of already existing teachers at the disadvantaged school be effected knowing that the school recruited and paid recruited </w:t>
      </w:r>
      <w:r w:rsidR="00F74559">
        <w:t xml:space="preserve">“talented </w:t>
      </w:r>
      <w:r w:rsidR="00C3339A">
        <w:t>teachers</w:t>
      </w:r>
      <w:r w:rsidR="00F74559">
        <w:t>”</w:t>
      </w:r>
      <w:r w:rsidR="00C3339A">
        <w:t xml:space="preserve"> at a higher rate? Personally, this concept </w:t>
      </w:r>
      <w:r w:rsidR="00F74559">
        <w:t>could have</w:t>
      </w:r>
      <w:r w:rsidR="00C3339A">
        <w:t xml:space="preserve"> a negative impact on teacher morale to already existing teachers due to the financial differences in pay for the transfer teacher who was recruited</w:t>
      </w:r>
      <w:r w:rsidR="00F74559">
        <w:t>, compared to the rest of the campus</w:t>
      </w:r>
      <w:r w:rsidR="00C3339A">
        <w:t xml:space="preserve">. </w:t>
      </w:r>
      <w:r w:rsidR="000455EF">
        <w:t>One would have to examine whether or not the budget and existing teacher morale could handle this recruitment tactic for new talented teachers</w:t>
      </w:r>
      <w:r w:rsidR="00A85994">
        <w:t>, and whether another recruitment concept could enable the administrator to hire talented teachers without the high cost</w:t>
      </w:r>
      <w:r w:rsidR="000455EF">
        <w:t xml:space="preserve">. </w:t>
      </w:r>
    </w:p>
    <w:p w:rsidR="00F74559" w:rsidRDefault="00D862FA" w:rsidP="00B329D1">
      <w:pPr>
        <w:spacing w:line="480" w:lineRule="auto"/>
        <w:ind w:firstLine="720"/>
      </w:pPr>
      <w:r>
        <w:lastRenderedPageBreak/>
        <w:t xml:space="preserve">The article “Prospective Teachers Ideas about Teacher Recruitment and Their Professional Future” examines looking at why teachers chose education as a profession and whether or not </w:t>
      </w:r>
      <w:r w:rsidR="00F74559">
        <w:t>they were recruited within the</w:t>
      </w:r>
      <w:r>
        <w:t xml:space="preserve"> profession. It examines the psychological impact of this and why many chose teaching as a profession. Taking this knowledge as an administrator and examining the data associated </w:t>
      </w:r>
      <w:r w:rsidR="00F74559">
        <w:t xml:space="preserve">with it </w:t>
      </w:r>
      <w:r>
        <w:t>is intriguing</w:t>
      </w:r>
      <w:r w:rsidR="00F74559">
        <w:t>,</w:t>
      </w:r>
      <w:r>
        <w:t xml:space="preserve"> and could be used to the administrators favor during the recruitment and hiring process. </w:t>
      </w:r>
    </w:p>
    <w:p w:rsidR="000455EF" w:rsidRDefault="00D862FA" w:rsidP="00B329D1">
      <w:pPr>
        <w:spacing w:line="480" w:lineRule="auto"/>
        <w:ind w:firstLine="720"/>
      </w:pPr>
      <w:r>
        <w:t>First, it is important to have knowledge of why candidates are entering the education field. For example, if they are being recruited and entering the field due to unemployment issues in other career fields and ar</w:t>
      </w:r>
      <w:r w:rsidR="00F74559">
        <w:t xml:space="preserve">e using teaching as a </w:t>
      </w:r>
      <w:r>
        <w:t>fall back</w:t>
      </w:r>
      <w:r w:rsidR="00F74559">
        <w:t xml:space="preserve"> or safety net, the candidate is</w:t>
      </w:r>
      <w:r>
        <w:t xml:space="preserve"> less likely</w:t>
      </w:r>
      <w:r w:rsidR="00F74559">
        <w:t xml:space="preserve"> to continue teaching</w:t>
      </w:r>
      <w:r>
        <w:t xml:space="preserve"> long term. Therefore, as a recruit</w:t>
      </w:r>
      <w:r w:rsidR="00F74559">
        <w:t>er and an administrator one</w:t>
      </w:r>
      <w:r>
        <w:t xml:space="preserve"> would be less likely to hire someone based off of this information. Also the data in this report stated that “although the majority of the participants 87% wanted to be teacher, half of that number stated they would choose another job if they were given another chance.” (</w:t>
      </w:r>
      <w:r w:rsidR="00387053">
        <w:t>Idris</w:t>
      </w:r>
      <w:r>
        <w:t xml:space="preserve">, 2011) This is disturbing as an administrator because the chances are each year you are recruiting new graduates into the field and 87% of those new graduates are stating that they would rather do something else. </w:t>
      </w:r>
      <w:r w:rsidR="00387053">
        <w:t xml:space="preserve">The article states “that permanent teachers recruitments are in favor of the public because otherwise the occupational attitudes of the teachers may be affected negatively which may lead the destruction of the job.” (Idris, 2011) </w:t>
      </w:r>
      <w:r>
        <w:t xml:space="preserve">Therefore, it is feasible that </w:t>
      </w:r>
      <w:r w:rsidR="00834CCF">
        <w:t>durin</w:t>
      </w:r>
      <w:r w:rsidR="006E2B12">
        <w:t>g the recruitment and hiring phas</w:t>
      </w:r>
      <w:r w:rsidR="00834CCF">
        <w:t>e it is essential as an administrator to delve deeply into the heart and reasons why the candidate is looking at teaching; otherwise it is highly lik</w:t>
      </w:r>
      <w:r w:rsidR="00387053">
        <w:t>ely you could need to find a</w:t>
      </w:r>
      <w:r w:rsidR="00834CCF">
        <w:t xml:space="preserve"> replacement the following year due to a lack of retention in the field. Due to this article </w:t>
      </w:r>
      <w:r w:rsidR="007E5978">
        <w:t xml:space="preserve">an </w:t>
      </w:r>
      <w:r w:rsidR="007E5978">
        <w:lastRenderedPageBreak/>
        <w:t xml:space="preserve">administrator would want to use the recruitment and interview phase of the hiring process to the </w:t>
      </w:r>
      <w:r w:rsidR="00387053">
        <w:t>administrator’s</w:t>
      </w:r>
      <w:r w:rsidR="007E5978">
        <w:t xml:space="preserve"> distinct advantage to avoid hiring a less than ideal candidate. </w:t>
      </w:r>
    </w:p>
    <w:p w:rsidR="0018553B" w:rsidRDefault="00A90AE3" w:rsidP="00B329D1">
      <w:pPr>
        <w:spacing w:line="480" w:lineRule="auto"/>
        <w:ind w:firstLine="720"/>
      </w:pPr>
      <w:r>
        <w:t>The last article being examined shows the distinct issue within the TAP</w:t>
      </w:r>
      <w:r w:rsidR="004614E1">
        <w:t xml:space="preserve">R report within the campus examined. The article “Recruitment, Retention and the Minority Teacher Shortage” by Richard Ingersoll and Henry May is an examination of a national crisis in the field of education. One could look at the campus examined in the TAPR report and question the schools high number of white teachers compared to the student population, this examiners question is </w:t>
      </w:r>
      <w:r w:rsidR="00884454">
        <w:t xml:space="preserve">what does the applicant pool for this district look like? </w:t>
      </w:r>
      <w:r w:rsidR="0094026B">
        <w:t>How can a district hire a diverse teacher population if the applicant pool is not diver</w:t>
      </w:r>
      <w:r w:rsidR="00F74559">
        <w:t>s</w:t>
      </w:r>
      <w:r w:rsidR="0018553B">
        <w:t>e</w:t>
      </w:r>
      <w:r w:rsidR="00F74559">
        <w:t xml:space="preserve"> itself? </w:t>
      </w:r>
    </w:p>
    <w:p w:rsidR="004614E1" w:rsidRDefault="00F74559" w:rsidP="00B329D1">
      <w:pPr>
        <w:spacing w:line="480" w:lineRule="auto"/>
        <w:ind w:firstLine="720"/>
      </w:pPr>
      <w:r>
        <w:t xml:space="preserve">Therefore, this </w:t>
      </w:r>
      <w:r w:rsidR="00547CD5">
        <w:t>could appear</w:t>
      </w:r>
      <w:r>
        <w:t xml:space="preserve"> to be a </w:t>
      </w:r>
      <w:r w:rsidR="0094026B">
        <w:t xml:space="preserve">recruitment issue </w:t>
      </w:r>
      <w:r>
        <w:t>on paper and the extension of the applicant pool to provide as</w:t>
      </w:r>
      <w:r w:rsidR="0094026B">
        <w:t xml:space="preserve"> extensive</w:t>
      </w:r>
      <w:r>
        <w:t xml:space="preserve"> and diverse applicant pool as possible</w:t>
      </w:r>
      <w:r w:rsidR="00453003">
        <w:t xml:space="preserve"> would be an easy fix</w:t>
      </w:r>
      <w:r>
        <w:t>. However, t</w:t>
      </w:r>
      <w:r w:rsidR="009024C2">
        <w:t>he article states that the “gap between the percentage of minority teachers in the school system, and minority teachers, is not due to a failure to recruit new minority teachers.”(Ingersoll</w:t>
      </w:r>
      <w:r w:rsidR="00453003">
        <w:t xml:space="preserve"> &amp;</w:t>
      </w:r>
      <w:r w:rsidR="009024C2">
        <w:t xml:space="preserve"> May, 2011) The research within this article referenced a teacher shortage in general as one of the prime conditions of why there is a distinct issue with regards to demographics in the classroom. It also stated that </w:t>
      </w:r>
      <w:r w:rsidR="00453003">
        <w:t>“</w:t>
      </w:r>
      <w:r w:rsidR="009024C2">
        <w:t xml:space="preserve">turnover was a huge issue with regards to the profession and that </w:t>
      </w:r>
      <w:r w:rsidR="00852E17">
        <w:t>many minority teachers felt a humanistic obligation to teach for predominantly urban districts making the diverse teacher shortage for non-urban schools even more noticeable, due to general teacher</w:t>
      </w:r>
      <w:r w:rsidR="001C5357">
        <w:t xml:space="preserve"> shortages.</w:t>
      </w:r>
      <w:r w:rsidR="00453003">
        <w:t>” (Ingersoll &amp; May, 2011)</w:t>
      </w:r>
      <w:r w:rsidR="001C5357">
        <w:t xml:space="preserve"> This article examined the importance of diversity within the educational system and teacher recruitment and </w:t>
      </w:r>
      <w:r w:rsidR="00452B69">
        <w:t>tended to put the emphases</w:t>
      </w:r>
      <w:r w:rsidR="0066221E">
        <w:t xml:space="preserve"> on teacher supply as a goal to overcome. Recruitment is essential to a successful school and the more diversity within the school administration and teaching staff, the </w:t>
      </w:r>
      <w:r w:rsidR="0066221E">
        <w:lastRenderedPageBreak/>
        <w:t>better. Therefore, since the “minority teaching force has changed over recent decades according to the article identifying recruitment obstacles into teaching and overcoming these by developing strategies to decrease these obstacles” should be a top priority. (Villegas &amp; Oucas, 2004; Villegas &amp; Irvine, 2010)</w:t>
      </w:r>
    </w:p>
    <w:p w:rsidR="00B16D11" w:rsidRDefault="00B16D11" w:rsidP="00B329D1">
      <w:pPr>
        <w:spacing w:line="480" w:lineRule="auto"/>
        <w:ind w:firstLine="720"/>
      </w:pPr>
      <w:r>
        <w:t>By taking a deep look into the campus report for Brewer High School and researching the topic of recruitment. It needs to be a main concern to initiate changes in the district at the staffing and recruitment level in order to diversify the teacher population and add needed support for minority and ELL students. It does not appear that the district has feasibly added at this current point the needed support to the g</w:t>
      </w:r>
      <w:r w:rsidR="00453003">
        <w:t>rowing Hispanic and ELL student populations,</w:t>
      </w:r>
      <w:r>
        <w:t xml:space="preserve"> and it appears to be reflected in absenteeism, testing, and drop-out rates. Also by the appearance of mathematical testing, specifically Algebra I the school may need to examine the recruiting techniques for the mathematic department starting at the high school level and potentially in the middle school for the district to give the needed support relating to</w:t>
      </w:r>
      <w:r w:rsidR="00453003">
        <w:t xml:space="preserve"> needed</w:t>
      </w:r>
      <w:r>
        <w:t xml:space="preserve"> vertical alignment. </w:t>
      </w:r>
      <w:r w:rsidR="00E66BC1">
        <w:t>Investigating SAT and ACT scores it would be interesting to see the breakdown of these test scores and see if the weakness for students was related to the mathematical portion of these tests or another variable</w:t>
      </w:r>
      <w:r w:rsidR="00453003">
        <w:t xml:space="preserve"> unseen at this point</w:t>
      </w:r>
      <w:r w:rsidR="00E66BC1">
        <w:t>. All in all the district met standards but a few small changes relating to the topic of recruitment could potentially raise the scores of thi</w:t>
      </w:r>
      <w:r w:rsidR="00DF5DCF">
        <w:t>s school by adding the teacher</w:t>
      </w:r>
      <w:r w:rsidR="00453003">
        <w:t xml:space="preserve"> and administrator support in areas that are most critical</w:t>
      </w:r>
      <w:r w:rsidR="00DF5DCF">
        <w:t>.</w:t>
      </w:r>
    </w:p>
    <w:p w:rsidR="006176B3" w:rsidRDefault="006176B3" w:rsidP="00B329D1">
      <w:pPr>
        <w:spacing w:line="480" w:lineRule="auto"/>
        <w:ind w:firstLine="720"/>
      </w:pPr>
    </w:p>
    <w:p w:rsidR="006176B3" w:rsidRDefault="006176B3" w:rsidP="00B329D1">
      <w:pPr>
        <w:spacing w:line="480" w:lineRule="auto"/>
        <w:ind w:firstLine="720"/>
      </w:pPr>
    </w:p>
    <w:p w:rsidR="0010461B" w:rsidRDefault="0010461B" w:rsidP="00B329D1">
      <w:pPr>
        <w:spacing w:line="480" w:lineRule="auto"/>
        <w:ind w:firstLine="720"/>
      </w:pPr>
    </w:p>
    <w:p w:rsidR="00B329D1" w:rsidRDefault="00B329D1" w:rsidP="00B329D1">
      <w:pPr>
        <w:spacing w:line="480" w:lineRule="auto"/>
        <w:ind w:firstLine="720"/>
        <w:jc w:val="center"/>
      </w:pPr>
      <w:r>
        <w:lastRenderedPageBreak/>
        <w:t>Reference</w:t>
      </w:r>
    </w:p>
    <w:p w:rsidR="00B329D1" w:rsidRDefault="00EE2B1B" w:rsidP="00B329D1">
      <w:pPr>
        <w:tabs>
          <w:tab w:val="center" w:pos="4680"/>
          <w:tab w:val="left" w:pos="7260"/>
        </w:tabs>
        <w:spacing w:line="480" w:lineRule="auto"/>
      </w:pPr>
      <w:r>
        <w:t>2013-2014</w:t>
      </w:r>
      <w:r w:rsidR="00B329D1" w:rsidRPr="00B329D1">
        <w:t xml:space="preserve"> Texas Academic Performance Report. (2013). Texas: Texas Education Agency.</w:t>
      </w:r>
    </w:p>
    <w:p w:rsidR="00D175EA" w:rsidRDefault="00D175EA" w:rsidP="00D175EA">
      <w:pPr>
        <w:tabs>
          <w:tab w:val="center" w:pos="4680"/>
          <w:tab w:val="left" w:pos="7260"/>
        </w:tabs>
        <w:spacing w:line="480" w:lineRule="auto"/>
      </w:pPr>
      <w:r>
        <w:t xml:space="preserve">Glazerman, Steven; Protik, Ali; Teh, Bing-ru; Bruch, Julie; Max, Jeffrey. (2013). Transfer </w:t>
      </w:r>
      <w:r>
        <w:tab/>
        <w:t xml:space="preserve">Incentives for High-Performing Teachers: Final Results from a Multisite Randomized </w:t>
      </w:r>
      <w:r>
        <w:tab/>
        <w:t>Experiment. National Center for Education Evaluation and Regional Assistance (ED).</w:t>
      </w:r>
    </w:p>
    <w:p w:rsidR="00D175EA" w:rsidRDefault="00D175EA" w:rsidP="00D175EA">
      <w:pPr>
        <w:tabs>
          <w:tab w:val="center" w:pos="4680"/>
          <w:tab w:val="left" w:pos="7260"/>
        </w:tabs>
        <w:spacing w:line="480" w:lineRule="auto"/>
      </w:pPr>
      <w:r>
        <w:t xml:space="preserve">Idris, S. (2011). Prospective Teachers' Ideas about Teacher Recruitment and Their Professional </w:t>
      </w:r>
      <w:r>
        <w:tab/>
        <w:t>Future Author. Educational Sciences: Theory and Practice, 11(3), 1179-1184.</w:t>
      </w:r>
    </w:p>
    <w:p w:rsidR="00D175EA" w:rsidRDefault="00D175EA" w:rsidP="00D175EA">
      <w:pPr>
        <w:tabs>
          <w:tab w:val="center" w:pos="4680"/>
          <w:tab w:val="left" w:pos="7260"/>
        </w:tabs>
        <w:spacing w:line="480" w:lineRule="auto"/>
      </w:pPr>
      <w:r>
        <w:t xml:space="preserve">Ingersoll, R., &amp; May, R. (n.d.). Recruitment, Retention and the Minority Teacher Shortage.CPRE </w:t>
      </w:r>
      <w:r>
        <w:tab/>
        <w:t>Research Report. Henry Consortium for Policy Research in Education.</w:t>
      </w:r>
    </w:p>
    <w:sectPr w:rsidR="00D175E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4B" w:rsidRDefault="006A0E4B" w:rsidP="000A386F">
      <w:pPr>
        <w:spacing w:after="0" w:line="240" w:lineRule="auto"/>
      </w:pPr>
      <w:r>
        <w:separator/>
      </w:r>
    </w:p>
  </w:endnote>
  <w:endnote w:type="continuationSeparator" w:id="0">
    <w:p w:rsidR="006A0E4B" w:rsidRDefault="006A0E4B" w:rsidP="000A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4B" w:rsidRDefault="006A0E4B" w:rsidP="000A386F">
      <w:pPr>
        <w:spacing w:after="0" w:line="240" w:lineRule="auto"/>
      </w:pPr>
      <w:r>
        <w:separator/>
      </w:r>
    </w:p>
  </w:footnote>
  <w:footnote w:type="continuationSeparator" w:id="0">
    <w:p w:rsidR="006A0E4B" w:rsidRDefault="006A0E4B" w:rsidP="000A3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7761"/>
      <w:gridCol w:w="792"/>
    </w:tblGrid>
    <w:tr w:rsidR="00AE45DB" w:rsidTr="005B0878">
      <w:trPr>
        <w:trHeight w:hRule="exact" w:val="792"/>
        <w:jc w:val="right"/>
      </w:trPr>
      <w:sdt>
        <w:sdtPr>
          <w:alias w:val="Title"/>
          <w:id w:val="23771477"/>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5B0878" w:rsidRDefault="005D15C3" w:rsidP="00AE45DB">
              <w:pPr>
                <w:pStyle w:val="Header"/>
                <w:jc w:val="right"/>
                <w:rPr>
                  <w:rFonts w:asciiTheme="majorHAnsi" w:eastAsiaTheme="majorEastAsia" w:hAnsiTheme="majorHAnsi" w:cstheme="majorBidi"/>
                  <w:sz w:val="28"/>
                  <w:szCs w:val="28"/>
                </w:rPr>
              </w:pPr>
              <w:r>
                <w:t>2013-2014</w:t>
              </w:r>
              <w:r w:rsidR="00AE45DB">
                <w:t xml:space="preserve"> Texas Academic Performance</w:t>
              </w:r>
              <w:r>
                <w:t xml:space="preserve"> Report Brewer High School WSISD</w:t>
              </w:r>
            </w:p>
          </w:tc>
        </w:sdtContent>
      </w:sdt>
      <w:tc>
        <w:tcPr>
          <w:tcW w:w="792" w:type="dxa"/>
          <w:shd w:val="clear" w:color="auto" w:fill="FFFFFF" w:themeFill="background1"/>
          <w:vAlign w:val="center"/>
        </w:tcPr>
        <w:p w:rsidR="005B0878" w:rsidRPr="005B0878" w:rsidRDefault="005B0878">
          <w:pPr>
            <w:pStyle w:val="Header"/>
            <w:jc w:val="center"/>
          </w:pPr>
          <w:r w:rsidRPr="005B0878">
            <w:fldChar w:fldCharType="begin"/>
          </w:r>
          <w:r w:rsidRPr="005B0878">
            <w:instrText xml:space="preserve"> PAGE  \* MERGEFORMAT </w:instrText>
          </w:r>
          <w:r w:rsidRPr="005B0878">
            <w:fldChar w:fldCharType="separate"/>
          </w:r>
          <w:r w:rsidR="00D1037F">
            <w:rPr>
              <w:noProof/>
            </w:rPr>
            <w:t>1</w:t>
          </w:r>
          <w:r w:rsidRPr="005B0878">
            <w:rPr>
              <w:noProof/>
            </w:rPr>
            <w:fldChar w:fldCharType="end"/>
          </w:r>
        </w:p>
      </w:tc>
    </w:tr>
  </w:tbl>
  <w:p w:rsidR="000A386F" w:rsidRDefault="000A3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5ABD"/>
    <w:multiLevelType w:val="hybridMultilevel"/>
    <w:tmpl w:val="CD86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99"/>
    <w:rsid w:val="000023CD"/>
    <w:rsid w:val="000076F5"/>
    <w:rsid w:val="00022E3C"/>
    <w:rsid w:val="00035623"/>
    <w:rsid w:val="00041527"/>
    <w:rsid w:val="00042FF4"/>
    <w:rsid w:val="00044C0D"/>
    <w:rsid w:val="000455EF"/>
    <w:rsid w:val="00077626"/>
    <w:rsid w:val="000A386F"/>
    <w:rsid w:val="000B27E0"/>
    <w:rsid w:val="000C3099"/>
    <w:rsid w:val="000C332B"/>
    <w:rsid w:val="000C3DE9"/>
    <w:rsid w:val="000C510B"/>
    <w:rsid w:val="000D507B"/>
    <w:rsid w:val="0010461B"/>
    <w:rsid w:val="0011221D"/>
    <w:rsid w:val="00113BA1"/>
    <w:rsid w:val="00131A68"/>
    <w:rsid w:val="0014359A"/>
    <w:rsid w:val="00145044"/>
    <w:rsid w:val="001467BD"/>
    <w:rsid w:val="00184CF0"/>
    <w:rsid w:val="0018553B"/>
    <w:rsid w:val="0019039A"/>
    <w:rsid w:val="001B0F40"/>
    <w:rsid w:val="001B262B"/>
    <w:rsid w:val="001C5357"/>
    <w:rsid w:val="001C7734"/>
    <w:rsid w:val="001E0816"/>
    <w:rsid w:val="00207D96"/>
    <w:rsid w:val="002329DF"/>
    <w:rsid w:val="00234D85"/>
    <w:rsid w:val="0026325F"/>
    <w:rsid w:val="002B3288"/>
    <w:rsid w:val="002B43A0"/>
    <w:rsid w:val="002D265E"/>
    <w:rsid w:val="002E7511"/>
    <w:rsid w:val="002F5DD7"/>
    <w:rsid w:val="00304257"/>
    <w:rsid w:val="0032753A"/>
    <w:rsid w:val="0035742A"/>
    <w:rsid w:val="00380C9C"/>
    <w:rsid w:val="00387053"/>
    <w:rsid w:val="00387D6D"/>
    <w:rsid w:val="00391196"/>
    <w:rsid w:val="003A42BF"/>
    <w:rsid w:val="003A778D"/>
    <w:rsid w:val="003B6E54"/>
    <w:rsid w:val="003C0EE8"/>
    <w:rsid w:val="003D2D76"/>
    <w:rsid w:val="003D412D"/>
    <w:rsid w:val="003E4CCD"/>
    <w:rsid w:val="003E53C2"/>
    <w:rsid w:val="003E6AF3"/>
    <w:rsid w:val="003F0A62"/>
    <w:rsid w:val="003F23DA"/>
    <w:rsid w:val="00420614"/>
    <w:rsid w:val="00435B2D"/>
    <w:rsid w:val="00437530"/>
    <w:rsid w:val="00452B69"/>
    <w:rsid w:val="00453003"/>
    <w:rsid w:val="004614E1"/>
    <w:rsid w:val="00463015"/>
    <w:rsid w:val="00475702"/>
    <w:rsid w:val="00487410"/>
    <w:rsid w:val="004B03CD"/>
    <w:rsid w:val="004B320E"/>
    <w:rsid w:val="004D0361"/>
    <w:rsid w:val="004F7FFD"/>
    <w:rsid w:val="00501669"/>
    <w:rsid w:val="005021CC"/>
    <w:rsid w:val="00523F8F"/>
    <w:rsid w:val="00547CD5"/>
    <w:rsid w:val="0056155C"/>
    <w:rsid w:val="005625ED"/>
    <w:rsid w:val="00581299"/>
    <w:rsid w:val="0058280B"/>
    <w:rsid w:val="00591FC5"/>
    <w:rsid w:val="005B0878"/>
    <w:rsid w:val="005B7A05"/>
    <w:rsid w:val="005D0683"/>
    <w:rsid w:val="005D08FE"/>
    <w:rsid w:val="005D15C3"/>
    <w:rsid w:val="005D698D"/>
    <w:rsid w:val="00615D8D"/>
    <w:rsid w:val="006176B3"/>
    <w:rsid w:val="00623BA3"/>
    <w:rsid w:val="00630180"/>
    <w:rsid w:val="0063321E"/>
    <w:rsid w:val="0066221E"/>
    <w:rsid w:val="006815E6"/>
    <w:rsid w:val="00690AF3"/>
    <w:rsid w:val="00692848"/>
    <w:rsid w:val="00693DE4"/>
    <w:rsid w:val="00695051"/>
    <w:rsid w:val="006A0E4B"/>
    <w:rsid w:val="006A3F7B"/>
    <w:rsid w:val="006D12EB"/>
    <w:rsid w:val="006E2B12"/>
    <w:rsid w:val="006F2C29"/>
    <w:rsid w:val="00700CAE"/>
    <w:rsid w:val="007208D8"/>
    <w:rsid w:val="00721260"/>
    <w:rsid w:val="00723D4B"/>
    <w:rsid w:val="007373E1"/>
    <w:rsid w:val="00757CF3"/>
    <w:rsid w:val="007806B7"/>
    <w:rsid w:val="0078732D"/>
    <w:rsid w:val="00793DC8"/>
    <w:rsid w:val="007B0BBF"/>
    <w:rsid w:val="007C200A"/>
    <w:rsid w:val="007C2690"/>
    <w:rsid w:val="007D2F5B"/>
    <w:rsid w:val="007D4FBB"/>
    <w:rsid w:val="007E5978"/>
    <w:rsid w:val="00834CCF"/>
    <w:rsid w:val="00841FCD"/>
    <w:rsid w:val="00843514"/>
    <w:rsid w:val="00852E17"/>
    <w:rsid w:val="008726FA"/>
    <w:rsid w:val="008747F1"/>
    <w:rsid w:val="00882097"/>
    <w:rsid w:val="00882EB6"/>
    <w:rsid w:val="00884454"/>
    <w:rsid w:val="008B7DF2"/>
    <w:rsid w:val="008E15F6"/>
    <w:rsid w:val="008E5D7D"/>
    <w:rsid w:val="009024C2"/>
    <w:rsid w:val="0090796E"/>
    <w:rsid w:val="0094026B"/>
    <w:rsid w:val="009475E4"/>
    <w:rsid w:val="009733F8"/>
    <w:rsid w:val="00982E22"/>
    <w:rsid w:val="00995505"/>
    <w:rsid w:val="00995E66"/>
    <w:rsid w:val="009A74EB"/>
    <w:rsid w:val="009E2CE0"/>
    <w:rsid w:val="00A059D1"/>
    <w:rsid w:val="00A25EB2"/>
    <w:rsid w:val="00A85994"/>
    <w:rsid w:val="00A90AE3"/>
    <w:rsid w:val="00AB3711"/>
    <w:rsid w:val="00AE45DB"/>
    <w:rsid w:val="00AF251A"/>
    <w:rsid w:val="00B16D11"/>
    <w:rsid w:val="00B2426E"/>
    <w:rsid w:val="00B329D1"/>
    <w:rsid w:val="00B34B55"/>
    <w:rsid w:val="00B36B4A"/>
    <w:rsid w:val="00B40978"/>
    <w:rsid w:val="00B44EA7"/>
    <w:rsid w:val="00B6008A"/>
    <w:rsid w:val="00B63855"/>
    <w:rsid w:val="00B679DE"/>
    <w:rsid w:val="00BB3102"/>
    <w:rsid w:val="00BC7E94"/>
    <w:rsid w:val="00BD2BBC"/>
    <w:rsid w:val="00BE52A5"/>
    <w:rsid w:val="00C02D76"/>
    <w:rsid w:val="00C104DB"/>
    <w:rsid w:val="00C225D0"/>
    <w:rsid w:val="00C229ED"/>
    <w:rsid w:val="00C3339A"/>
    <w:rsid w:val="00C36FC1"/>
    <w:rsid w:val="00C466BA"/>
    <w:rsid w:val="00C65203"/>
    <w:rsid w:val="00C87B8C"/>
    <w:rsid w:val="00C97E34"/>
    <w:rsid w:val="00CA5C8B"/>
    <w:rsid w:val="00CA6836"/>
    <w:rsid w:val="00CE76F9"/>
    <w:rsid w:val="00D1037F"/>
    <w:rsid w:val="00D11152"/>
    <w:rsid w:val="00D111D3"/>
    <w:rsid w:val="00D159A7"/>
    <w:rsid w:val="00D171C6"/>
    <w:rsid w:val="00D175EA"/>
    <w:rsid w:val="00D20642"/>
    <w:rsid w:val="00D6171F"/>
    <w:rsid w:val="00D74C58"/>
    <w:rsid w:val="00D862FA"/>
    <w:rsid w:val="00D976DD"/>
    <w:rsid w:val="00DC1EE3"/>
    <w:rsid w:val="00DC3C07"/>
    <w:rsid w:val="00DC6FC6"/>
    <w:rsid w:val="00DE5D89"/>
    <w:rsid w:val="00DE6D02"/>
    <w:rsid w:val="00DE6E27"/>
    <w:rsid w:val="00DF5DCF"/>
    <w:rsid w:val="00E20CCA"/>
    <w:rsid w:val="00E3053D"/>
    <w:rsid w:val="00E42A69"/>
    <w:rsid w:val="00E44775"/>
    <w:rsid w:val="00E61867"/>
    <w:rsid w:val="00E66BC1"/>
    <w:rsid w:val="00E74537"/>
    <w:rsid w:val="00E94852"/>
    <w:rsid w:val="00EB7591"/>
    <w:rsid w:val="00EC2A7F"/>
    <w:rsid w:val="00EC4E7C"/>
    <w:rsid w:val="00EE1A97"/>
    <w:rsid w:val="00EE2B1B"/>
    <w:rsid w:val="00EF34CA"/>
    <w:rsid w:val="00F0461C"/>
    <w:rsid w:val="00F17EF9"/>
    <w:rsid w:val="00F21D03"/>
    <w:rsid w:val="00F23D96"/>
    <w:rsid w:val="00F30B13"/>
    <w:rsid w:val="00F36AE3"/>
    <w:rsid w:val="00F60865"/>
    <w:rsid w:val="00F61E28"/>
    <w:rsid w:val="00F64754"/>
    <w:rsid w:val="00F74559"/>
    <w:rsid w:val="00F77DA3"/>
    <w:rsid w:val="00F878F6"/>
    <w:rsid w:val="00FA1016"/>
    <w:rsid w:val="00FB11D3"/>
    <w:rsid w:val="00FC4710"/>
    <w:rsid w:val="00FE4F77"/>
    <w:rsid w:val="00FF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D7"/>
    <w:pPr>
      <w:ind w:left="720"/>
      <w:contextualSpacing/>
    </w:pPr>
  </w:style>
  <w:style w:type="paragraph" w:styleId="Header">
    <w:name w:val="header"/>
    <w:basedOn w:val="Normal"/>
    <w:link w:val="HeaderChar"/>
    <w:uiPriority w:val="99"/>
    <w:unhideWhenUsed/>
    <w:rsid w:val="000A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F"/>
  </w:style>
  <w:style w:type="paragraph" w:styleId="Footer">
    <w:name w:val="footer"/>
    <w:basedOn w:val="Normal"/>
    <w:link w:val="FooterChar"/>
    <w:uiPriority w:val="99"/>
    <w:unhideWhenUsed/>
    <w:rsid w:val="000A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F"/>
  </w:style>
  <w:style w:type="paragraph" w:styleId="BalloonText">
    <w:name w:val="Balloon Text"/>
    <w:basedOn w:val="Normal"/>
    <w:link w:val="BalloonTextChar"/>
    <w:uiPriority w:val="99"/>
    <w:semiHidden/>
    <w:unhideWhenUsed/>
    <w:rsid w:val="005B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D7"/>
    <w:pPr>
      <w:ind w:left="720"/>
      <w:contextualSpacing/>
    </w:pPr>
  </w:style>
  <w:style w:type="paragraph" w:styleId="Header">
    <w:name w:val="header"/>
    <w:basedOn w:val="Normal"/>
    <w:link w:val="HeaderChar"/>
    <w:uiPriority w:val="99"/>
    <w:unhideWhenUsed/>
    <w:rsid w:val="000A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F"/>
  </w:style>
  <w:style w:type="paragraph" w:styleId="Footer">
    <w:name w:val="footer"/>
    <w:basedOn w:val="Normal"/>
    <w:link w:val="FooterChar"/>
    <w:uiPriority w:val="99"/>
    <w:unhideWhenUsed/>
    <w:rsid w:val="000A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F"/>
  </w:style>
  <w:style w:type="paragraph" w:styleId="BalloonText">
    <w:name w:val="Balloon Text"/>
    <w:basedOn w:val="Normal"/>
    <w:link w:val="BalloonTextChar"/>
    <w:uiPriority w:val="99"/>
    <w:semiHidden/>
    <w:unhideWhenUsed/>
    <w:rsid w:val="005B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2924">
      <w:bodyDiv w:val="1"/>
      <w:marLeft w:val="0"/>
      <w:marRight w:val="0"/>
      <w:marTop w:val="0"/>
      <w:marBottom w:val="0"/>
      <w:divBdr>
        <w:top w:val="none" w:sz="0" w:space="0" w:color="auto"/>
        <w:left w:val="none" w:sz="0" w:space="0" w:color="auto"/>
        <w:bottom w:val="none" w:sz="0" w:space="0" w:color="auto"/>
        <w:right w:val="none" w:sz="0" w:space="0" w:color="auto"/>
      </w:divBdr>
    </w:div>
    <w:div w:id="1060052087">
      <w:bodyDiv w:val="1"/>
      <w:marLeft w:val="0"/>
      <w:marRight w:val="0"/>
      <w:marTop w:val="0"/>
      <w:marBottom w:val="0"/>
      <w:divBdr>
        <w:top w:val="none" w:sz="0" w:space="0" w:color="auto"/>
        <w:left w:val="none" w:sz="0" w:space="0" w:color="auto"/>
        <w:bottom w:val="none" w:sz="0" w:space="0" w:color="auto"/>
        <w:right w:val="none" w:sz="0" w:space="0" w:color="auto"/>
      </w:divBdr>
      <w:divsChild>
        <w:div w:id="695345923">
          <w:marLeft w:val="0"/>
          <w:marRight w:val="0"/>
          <w:marTop w:val="0"/>
          <w:marBottom w:val="0"/>
          <w:divBdr>
            <w:top w:val="none" w:sz="0" w:space="0" w:color="auto"/>
            <w:left w:val="none" w:sz="0" w:space="0" w:color="auto"/>
            <w:bottom w:val="none" w:sz="0" w:space="0" w:color="auto"/>
            <w:right w:val="none" w:sz="0" w:space="0" w:color="auto"/>
          </w:divBdr>
          <w:divsChild>
            <w:div w:id="1933928713">
              <w:marLeft w:val="0"/>
              <w:marRight w:val="0"/>
              <w:marTop w:val="0"/>
              <w:marBottom w:val="0"/>
              <w:divBdr>
                <w:top w:val="none" w:sz="0" w:space="0" w:color="auto"/>
                <w:left w:val="none" w:sz="0" w:space="0" w:color="auto"/>
                <w:bottom w:val="none" w:sz="0" w:space="0" w:color="auto"/>
                <w:right w:val="none" w:sz="0" w:space="0" w:color="auto"/>
              </w:divBdr>
              <w:divsChild>
                <w:div w:id="9649409">
                  <w:marLeft w:val="0"/>
                  <w:marRight w:val="0"/>
                  <w:marTop w:val="0"/>
                  <w:marBottom w:val="0"/>
                  <w:divBdr>
                    <w:top w:val="none" w:sz="0" w:space="0" w:color="auto"/>
                    <w:left w:val="none" w:sz="0" w:space="0" w:color="auto"/>
                    <w:bottom w:val="none" w:sz="0" w:space="0" w:color="auto"/>
                    <w:right w:val="none" w:sz="0" w:space="0" w:color="auto"/>
                  </w:divBdr>
                  <w:divsChild>
                    <w:div w:id="2129738829">
                      <w:marLeft w:val="0"/>
                      <w:marRight w:val="0"/>
                      <w:marTop w:val="0"/>
                      <w:marBottom w:val="0"/>
                      <w:divBdr>
                        <w:top w:val="none" w:sz="0" w:space="0" w:color="auto"/>
                        <w:left w:val="none" w:sz="0" w:space="0" w:color="auto"/>
                        <w:bottom w:val="none" w:sz="0" w:space="0" w:color="auto"/>
                        <w:right w:val="none" w:sz="0" w:space="0" w:color="auto"/>
                      </w:divBdr>
                      <w:divsChild>
                        <w:div w:id="677005617">
                          <w:marLeft w:val="0"/>
                          <w:marRight w:val="0"/>
                          <w:marTop w:val="0"/>
                          <w:marBottom w:val="0"/>
                          <w:divBdr>
                            <w:top w:val="none" w:sz="0" w:space="0" w:color="auto"/>
                            <w:left w:val="none" w:sz="0" w:space="0" w:color="auto"/>
                            <w:bottom w:val="none" w:sz="0" w:space="0" w:color="auto"/>
                            <w:right w:val="none" w:sz="0" w:space="0" w:color="auto"/>
                          </w:divBdr>
                          <w:divsChild>
                            <w:div w:id="19093431">
                              <w:marLeft w:val="0"/>
                              <w:marRight w:val="0"/>
                              <w:marTop w:val="0"/>
                              <w:marBottom w:val="0"/>
                              <w:divBdr>
                                <w:top w:val="none" w:sz="0" w:space="0" w:color="auto"/>
                                <w:left w:val="none" w:sz="0" w:space="0" w:color="auto"/>
                                <w:bottom w:val="none" w:sz="0" w:space="0" w:color="auto"/>
                                <w:right w:val="none" w:sz="0" w:space="0" w:color="auto"/>
                              </w:divBdr>
                              <w:divsChild>
                                <w:div w:id="1808627974">
                                  <w:marLeft w:val="0"/>
                                  <w:marRight w:val="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Fra12</b:Tag>
    <b:SourceType>JournalArticle</b:SourceType>
    <b:Guid>{01CA15BE-2498-48D7-B500-C750E31AC360}</b:Guid>
    <b:Title>Are STEM High School Students Entering the STEM Pipeline?</b:Title>
    <b:Year>2012</b:Year>
    <b:Author>
      <b:Author>
        <b:NameList>
          <b:Person>
            <b:Last>Franco</b:Last>
            <b:First>Ed.D.,</b:First>
            <b:Middle>Patel, Ph.D., Lindsey, Ph.D.</b:Middle>
          </b:Person>
        </b:NameList>
      </b:Author>
    </b:Author>
    <b:JournalName>NCSSSMST Journal</b:JournalName>
    <b:Pages>14-23</b:Pages>
    <b:RefOrder>1</b:RefOrder>
  </b:Source>
</b:Sources>
</file>

<file path=customXml/itemProps1.xml><?xml version="1.0" encoding="utf-8"?>
<ds:datastoreItem xmlns:ds="http://schemas.openxmlformats.org/officeDocument/2006/customXml" ds:itemID="{0C66865F-AC3B-4E78-B743-FBD8BB26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2013-2014 Texas Academic Performance Report Brewer High School WSISD</vt:lpstr>
    </vt:vector>
  </TitlesOfParts>
  <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Texas Academic Performance Report Brewer High School WSISD</dc:title>
  <dc:creator>user</dc:creator>
  <cp:lastModifiedBy>user</cp:lastModifiedBy>
  <cp:revision>2</cp:revision>
  <dcterms:created xsi:type="dcterms:W3CDTF">2015-04-18T17:11:00Z</dcterms:created>
  <dcterms:modified xsi:type="dcterms:W3CDTF">2015-04-18T17:11:00Z</dcterms:modified>
</cp:coreProperties>
</file>